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8" w:rsidRDefault="00175BB6" w:rsidP="00991B28">
      <w:pPr>
        <w:spacing w:after="0"/>
        <w:ind w:left="120"/>
        <w:jc w:val="center"/>
        <w:rPr>
          <w:sz w:val="26"/>
          <w:szCs w:val="26"/>
          <w:lang w:val="ru-RU"/>
        </w:rPr>
      </w:pPr>
      <w:bookmarkStart w:id="0" w:name="block-21347778"/>
      <w:bookmarkStart w:id="1" w:name="_GoBack"/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7467600" cy="10027920"/>
            <wp:effectExtent l="0" t="0" r="0" b="0"/>
            <wp:docPr id="1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367" cy="1003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E05C9" w:rsidRPr="00C2060A" w:rsidRDefault="00991B28" w:rsidP="00C2060A">
      <w:pPr>
        <w:spacing w:after="0" w:line="264" w:lineRule="auto"/>
        <w:jc w:val="center"/>
        <w:rPr>
          <w:sz w:val="24"/>
          <w:lang w:val="ru-RU"/>
        </w:rPr>
      </w:pPr>
      <w:bookmarkStart w:id="2" w:name="block-21347780"/>
      <w:bookmarkEnd w:id="0"/>
      <w:r w:rsidRPr="00C2060A">
        <w:rPr>
          <w:rFonts w:ascii="Times New Roman" w:hAnsi="Times New Roman"/>
          <w:b/>
          <w:color w:val="000000"/>
          <w:sz w:val="32"/>
          <w:lang w:val="ru-RU"/>
        </w:rPr>
        <w:lastRenderedPageBreak/>
        <w:t>ПОЯСНИТЕЛЬН</w:t>
      </w:r>
      <w:r w:rsidRPr="00C2060A">
        <w:rPr>
          <w:rFonts w:ascii="Times New Roman" w:hAnsi="Times New Roman"/>
          <w:color w:val="000000"/>
          <w:sz w:val="32"/>
          <w:lang w:val="ru-RU"/>
        </w:rPr>
        <w:t>​</w:t>
      </w:r>
      <w:r w:rsidRPr="00C2060A">
        <w:rPr>
          <w:rFonts w:ascii="Times New Roman" w:hAnsi="Times New Roman"/>
          <w:b/>
          <w:color w:val="000000"/>
          <w:sz w:val="32"/>
          <w:lang w:val="ru-RU"/>
        </w:rPr>
        <w:t>АЯ ЗАПИСКА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Cs w:val="2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</w:t>
      </w: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20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​​</w:t>
      </w:r>
      <w:r w:rsidRPr="00C2060A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b/>
          <w:color w:val="333333"/>
          <w:sz w:val="20"/>
          <w:szCs w:val="20"/>
          <w:lang w:val="ru-RU"/>
        </w:rPr>
        <w:t>ЦЕЛИ ИЗУЧЕНИЯ УЧЕБНОГО ПРЕДМЕТА «РУССКИЙ ЯЗЫК»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русского языка направлено на достижение следующих целей: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«РУССКИЙ ЯЗЫК» В УЧЕБНОМ ПЛАНЕ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20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E05C9" w:rsidRPr="00C2060A" w:rsidRDefault="00EE05C9" w:rsidP="00C2060A">
      <w:pPr>
        <w:spacing w:line="0" w:lineRule="atLeast"/>
        <w:contextualSpacing/>
        <w:rPr>
          <w:sz w:val="18"/>
          <w:szCs w:val="20"/>
          <w:lang w:val="ru-RU"/>
        </w:rPr>
        <w:sectPr w:rsidR="00EE05C9" w:rsidRPr="00C2060A" w:rsidSect="00175BB6">
          <w:pgSz w:w="11906" w:h="16383"/>
          <w:pgMar w:top="567" w:right="424" w:bottom="426" w:left="284" w:header="720" w:footer="720" w:gutter="0"/>
          <w:cols w:space="720"/>
        </w:sectPr>
      </w:pPr>
    </w:p>
    <w:p w:rsidR="00EE05C9" w:rsidRPr="00C2060A" w:rsidRDefault="00991B28" w:rsidP="00C2060A">
      <w:pPr>
        <w:spacing w:after="0" w:line="0" w:lineRule="atLeast"/>
        <w:contextualSpacing/>
        <w:jc w:val="center"/>
        <w:rPr>
          <w:sz w:val="18"/>
          <w:szCs w:val="20"/>
          <w:lang w:val="ru-RU"/>
        </w:rPr>
      </w:pPr>
      <w:bookmarkStart w:id="3" w:name="block-21347781"/>
      <w:bookmarkEnd w:id="2"/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lastRenderedPageBreak/>
        <w:t>СОДЕРЖАНИЕ УЧЕБНОГО ПРЕДМЕТА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5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Богатство и выразительность русского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Лингвистика как наука о языке.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Основные разделы лингвистики.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Язык и речь.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Речь устная и письменная, монологическая и диалогическая, полилог.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речевой деятельности (говорение, слушание, чтение, письмо), их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Речевые формулы приветствия, прощания, просьбы, благодарности.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аудирования: выборочное, ознакомительное, детальное.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чтения: изучающее, ознакомительное, просмотровое, поисковое.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Повествование как тип речи. Рассказ.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Информационная переработка текста: простой и сложный план текста.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Функциональные разновидности языка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861CC3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861CC3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861CC3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861CC3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861CC3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Фонетика. Графика. Орфоэпия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Фонетика и графика как разделы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Звук как единица языка. Смыслоразличительная роль звука.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Система гласных звуков.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Система согласных звуков.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Изменение звуков в речевом потоке. Элементы фонетической транскрипции.</w:t>
      </w:r>
    </w:p>
    <w:p w:rsidR="00EE05C9" w:rsidRPr="00703DC9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Слог. Ударение. </w:t>
      </w:r>
      <w:r w:rsidRPr="00703DC9">
        <w:rPr>
          <w:rFonts w:ascii="Times New Roman" w:hAnsi="Times New Roman"/>
          <w:color w:val="000000"/>
          <w:sz w:val="18"/>
          <w:szCs w:val="20"/>
          <w:lang w:val="ru-RU"/>
        </w:rPr>
        <w:t>Свойства русского ударения.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Соотношение звуков и букв.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Фонетический анализ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Способы обозначения [й’], мягкости согласных.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Основные выразительные средства фонетики.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Прописные и строчные буквы.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Интонация, её функции. Основные элементы интонации.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Орфография как раздел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Понятие «орфограмма». Буквенные и небуквенные орфограммы.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разделительных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ъ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Лексикология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Лексикология как раздел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E05C9" w:rsidRPr="00861CC3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Синонимы. Антонимы. </w:t>
      </w:r>
      <w:r w:rsidRPr="00861CC3">
        <w:rPr>
          <w:rFonts w:ascii="Times New Roman" w:hAnsi="Times New Roman"/>
          <w:color w:val="000000"/>
          <w:sz w:val="18"/>
          <w:szCs w:val="20"/>
          <w:lang w:val="ru-RU"/>
        </w:rPr>
        <w:t>Омонимы. Паронимы.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Лексический анализ слов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861CC3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861CC3">
        <w:rPr>
          <w:rFonts w:ascii="Times New Roman" w:hAnsi="Times New Roman"/>
          <w:b/>
          <w:color w:val="000000"/>
          <w:sz w:val="18"/>
          <w:szCs w:val="20"/>
          <w:lang w:val="ru-RU"/>
        </w:rPr>
        <w:t>Морфемика.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Морфемика как раздел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Чередование звуков в морфемах (в том числе чередование гласных с нулём звука).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Морфемный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Уместное использование слов с суффиксами оценки в собственной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ё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 в корне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неизменяемых на письме приставок и приставок на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-з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приставок.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слова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861CC3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Морфология. Культура речи.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Морфология как раздел грамматики. Грамматическое значение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существительное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Род, число, падеж имени существительного.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Имена существительные общего рода.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собственных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на конце имён существительных после шипящих.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безударных окончаний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ё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 после шипящих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суффиксах и окончаниях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-чик-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-щик-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;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-ик-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(-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чик-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корней 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//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лаг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лож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-;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раст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ращ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рос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-;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гар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гор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зор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-;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-клан-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-клон-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-скак-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-скоч-.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именами существительными.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имён существительных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прилагательное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Имена прилагательные полные и краткие, их синтаксические функции.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Склонение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имён прилагательных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безударных окончаний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суффиксах и окончаниях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кратких форм имён прилагательных с основой на шипящий.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не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 именами прилагательными.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имён прилагательных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Глагол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Глаголы совершенного и несовершенного вида, возвратные и невозвратные.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Спряжение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глаголов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корней 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//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и: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бер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бир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блест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блист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дер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дир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жег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жиг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мир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пер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пир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стел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стил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тир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Использование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-тся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-ться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глаголах,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-ова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ева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-ыва-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-ива-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безударных личных окончаний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гласной перед суффиксом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-л-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формах прошедшего времени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глаголами.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глаголов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Синтаксис. Культура речи. Пунктуация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Синтаксис как раздел грамматики. Словосочетание и предложение как единицы синтаксиса.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анализ словосочетания.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Тире между подлежащим и сказуемым.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однако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 Предложения с обобщающим словом при однородных членах.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с обращением, особенности интонации. Обращение и средства его выражения.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анализ простого и простого осложнённого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однако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однако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с прямой речью.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Пунктуационное оформление предложений с прямой речью.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Диалог.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Пунктуационное оформление диалога на письме.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Пунктуация как раздел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Пунктуационный анализ предложения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6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Понятие о литературном языке.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диалога: побуждение к действию, обмен мнениями.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как тип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внешности человека.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помещения.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природы.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местности.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Описание действий.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Лексикология. Культура речи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Лексический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Фразеологизмы. Их признаки и значение.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Употребление лексических средств в соответствии с ситуацией общения.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Эпитеты, метафоры, олицетворения.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Лексические словари.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Словообразование. Культура речи.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Формообразующие и словообразующие морфемы.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Производящая основа.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Понятие об этимологии (общее представление).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Морфемный и словообразовательный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сложных и сложносокращённых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корня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кос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 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//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гласных в приставках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слов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Морфология. Культура речи. Орфография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существительное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Особенности словообразования.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словоизменения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Правила слитного и дефисного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пол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полу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со словами.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имён существительных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прилагательное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Качественные, относительные и притяжательные имена прилагательные.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Степени сравнения качественных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Словообразование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именах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суффиксов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и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ск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сложных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произношения имён прилагательных, нормы ударения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имени прилагательного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числительное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имён числительных по строению: простые, сложные, составные числительные.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Словообразование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Склонение количественных и порядковых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Правильное образование форм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Правильное употребление собирательных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имён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Правила правописания имён числительных: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имён числительных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Местоимение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Общее грамматическое значение местоимения. Синтаксические функции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Склонение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Словообразование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Правила правописания местоимений: правописание место­имений с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; слитное, раздельное и дефисное написание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местоимений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Глагол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Переходные и непереходные глаголы.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Разноспрягаемые глаголы.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Безличные глаголы. Использование личных глаголов в безличном значении.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Изъявительное, условное и повелительное наклонения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ударения в глагольных формах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словоизменения глаголов.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Видо-временная соотнесённость глагольных форм в тексте.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глаголов.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Использование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как показателя грамматической формы в повелительном наклонении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глаголов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7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Русский язык как развивающееся явление. Взаимосвязь ­языка, культуры и истории народа.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Язык и речь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Монолог-описание, монолог-рассуждение, монолог-повествование.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lastRenderedPageBreak/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Текст как речевое произведение. Основные признаки текста (обобщение).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Структура текста. Абзац.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Способы и средства связи предложений в тексте (обобщение).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Рассуждение как функционально-смысловой тип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Структурные особенности текста-рассуждения.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Публицистический стиль. Сфера употребления, функции, языковые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Жанры публицистического стиля (репортаж, заметка, интервью).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Употребление языковых средств выразительности в текстах публицистического стиля.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Морфология. Культура речи. Орфография.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Морфология как раздел науки о языке (обобщение).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Причастие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Причастный оборот. Знаки препинания в предложениях с причастным оборотом.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Действительные и страдательные причастия.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Полные и краткие формы страдательных причастий.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висящий — висячий, горящий — горячий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 Ударение в некоторых формах причастий.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причастий.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гласных в суффиксах причастий. Правописание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суффиксах причастий и отглагольных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причастиями.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причастий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Деепричастие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деепричастий.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деепричастиями.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деепричастий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Наречие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Общее грамматическое значение наречий. Синтаксические свойства наречий. Роль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Словообразование наречий.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наречий.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наречиями;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наречиях на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о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(-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); правописание суффиксов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наречий с приставками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из-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до-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с-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в-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на-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за-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употребление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 на конце наречий; правописание суффиксов наречий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Орфографический анализ наречий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Слова категории состояния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Вопрос о словах категории состояния в системе частей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Служебные части речи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Предлог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Предлог как служебная часть речи. Грамматические функции предлогов.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предлогов.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из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. Правильное образование предложно-падежных форм с предлогами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благодаря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согласно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вопреки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наперерез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производных предлогов.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Союз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союзов.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Правописание союзов.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связывающим однородные члены и части сложного предложения.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Частица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частиц по значению и употреблению: формообразующие, отрицательные, модальные.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частиц.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Смысловые различия частиц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. Использование частиц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письменной речи. Различение приставки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 и частицы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. 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разными частями речи (обобщение). Правописание частиц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же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другими словами. Дефисное написание частиц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таки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Междометия и звукоподражательные слова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Междометия как особая группа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Морфологический анализ междометий.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Звукоподражательные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8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Русский язык в кругу других славянских языков.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Диалог.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Текст и его основные признаки.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Официально-деловой стиль. Сфера употребления, функции, языковые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Научный стиль. Сфера употребления, функции, языковые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Синтаксис. Культура речи. Пунктуация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Синтаксис как раздел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Словосочетание и предложение как единицы синтаксиса.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Пунктуация. Функции знаков препинания.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Словосочетание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Основные признаки словосочетания.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анализ словосочетаний.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Грамматическая синонимия словосочетаний.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построения словосочетаний.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предложений по количеству грамматических основ (простые, сложные).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простых предложений по наличию главных членов (двусоставные, односоставные).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полные и неполные.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нет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построения простого предложения, использования инверсии.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Двусоставное предложение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Главные члены предложения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Подлежащее и сказуемое как главные члены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Способы выражения подлежащего.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Тире между подлежащим и сказуемым.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большинство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меньшинство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количественными сочетаниями.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Второстепенные члены предложения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Второстепенные члены предложения, их виды.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Приложение как особый вид определения.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Дополнение как второстепенный член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Дополнения прямые и косвенные.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Односоставные предложения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Односоставные предложения, их грамматические признаки.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Синтаксическая синонимия односоставных и двусоставных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Употребление односоставных предложений в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Простое осложнённое предложение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Предложения с однородными членами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Однородные и неоднородные определения.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Предложения с обобщающими словами при однородных членах.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 только… но 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как… так 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и... 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или... или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либ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... либ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ни... ни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... т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Предложения с обособленными членами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Уточняющие члены предложения, пояснительные и при­соединительные конструкции.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Предложения с обращениями, вводными и вставными конструкциями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Вводные конструкции.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Вставные конструкции.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Омонимия членов предложения и вводных слов, словосочетаний и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Синтаксический и пунктуационный анализ простых предложений.</w:t>
      </w: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9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Роль русского языка в Российской Федерации.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Русский язык в современном мире.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Виды речевой деятельности: говорение, письмо, аудирование, чтение (повторение).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Виды аудирования: выборочное, ознакомительное, детальное.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Виды чтения: изучающее, ознакомительное, просмотровое, поисковое.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Подробное, сжатое, выборочное изложение прочитанного или прослушанного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Приёмы работы с учебной книгой, лингвистическими словарями, справочной литературой.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 xml:space="preserve">Текст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Информационная переработка текста.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 xml:space="preserve">Синтаксис. Культура речи. Пунктуация 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Сложное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Понятие о сложном предложении (повторение).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Классификация сложных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Смысловое, структурное и интонационное единство частей сложного предложения.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Сложносочинённое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Понятие о сложносочинённом предложении, его строении.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Синтаксический и пунктуационный анализ сложносочинённых предложений.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Сложноподчинённое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Понятие о сложноподчинённом предложении. Главная и придаточная части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Союзы и союзные слова. Различия подчинительных союзов и союзных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чтобы</w:t>
      </w: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 xml:space="preserve">, союзными словами </w:t>
      </w: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какой</w:t>
      </w: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который</w:t>
      </w: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. Типичные грамматические ошибки при построении сложноподчинённых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Правила постановки знаков препинания в сложноподчинённых предложениях.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Синтаксический и пунктуационный анализ сложноподчинённых предложений.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Бессоюзное сложное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Понятие о бессоюзном сложном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Синтаксический и пунктуационный анализ бессоюзных сложных предложений.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Сложные предложения с разными видами союзной и бессоюзной связи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Типы сложных предложений с разными видами связи.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6"/>
          <w:szCs w:val="20"/>
          <w:lang w:val="ru-RU"/>
        </w:rPr>
        <w:t>Прямая и косвенная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Прямая и косвенная речь. Синонимия предложений с прямой и косвенной речью.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Цитирование. Способы включения цитат в высказывание.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Calibri" w:hAnsi="Calibri"/>
          <w:color w:val="000000"/>
          <w:sz w:val="16"/>
          <w:szCs w:val="20"/>
          <w:lang w:val="ru-RU"/>
        </w:rPr>
        <w:t>Применение знаний по синтаксису и пунктуации в практике правописания.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6"/>
          <w:szCs w:val="20"/>
          <w:lang w:val="ru-RU"/>
        </w:rPr>
        <w:t>​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6"/>
          <w:szCs w:val="20"/>
          <w:lang w:val="ru-RU"/>
        </w:rPr>
      </w:pPr>
    </w:p>
    <w:p w:rsidR="00EE05C9" w:rsidRPr="00C2060A" w:rsidRDefault="00EE05C9" w:rsidP="00C2060A">
      <w:pPr>
        <w:spacing w:line="0" w:lineRule="atLeast"/>
        <w:contextualSpacing/>
        <w:rPr>
          <w:sz w:val="18"/>
          <w:szCs w:val="20"/>
          <w:lang w:val="ru-RU"/>
        </w:rPr>
        <w:sectPr w:rsidR="00EE05C9" w:rsidRPr="00C2060A" w:rsidSect="00C2060A">
          <w:pgSz w:w="11906" w:h="16383"/>
          <w:pgMar w:top="567" w:right="424" w:bottom="426" w:left="284" w:header="720" w:footer="720" w:gutter="0"/>
          <w:cols w:space="720"/>
        </w:sectPr>
      </w:pP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bookmarkStart w:id="4" w:name="block-21347779"/>
      <w:bookmarkEnd w:id="3"/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​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ПЛАНИРУЕМЫЕ ОБРАЗОВАТЕЛЬНЫЕ РЕЗУЛЬТАТЫ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ЛИЧНОСТНЫЕ РЕЗУЛЬТАТЫ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следующие личностные результаты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1)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гражданского воспитания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2)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патриотического воспитания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3)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духовно-нравственного воспитания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4)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эстетического воспитания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5)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умение принимать себя и других, не осуждая;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6)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трудового воспитания: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умение рассказать о своих планах на будущее;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7)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экологического воспитания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8)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ценности научного познания: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9)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адаптации обучающегося к изменяющимся условиям социальной и природной среды: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МЕТАПРЕДМЕТНЫЕ РЕЗУЛЬТАТЫ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следующие метапредметные результаты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базовые логические действия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как часть познавательных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базовые исследовательские действия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как часть познавательных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составлять алгоритм действий и использовать его для решения учебных задач;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прогнозировать возможное дальнейшее развитие процессов, событий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умения работать с информацией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как часть познавательных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эффективно запоминать и систематизировать информацию.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умения общения как часть коммуникативных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невербальные средства общения, понимать значение социальных знаков;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умения самоорганизации как части регулятивных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проблемы для решения в учебных и жизненных ситуациях;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делать выбор и брать ответственность за решение.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давать адекватную оценку учебной ситуации и предлагать план её изменения;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развивать способность управлять собственными эмоциями и эмоциями других;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осознанно относиться к другому человеку и его мнению;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признавать своё и чужое право на ошибку;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принимать себя и других, не осуждая;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проявлять открытость;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осознавать невозможность контролировать всё вокруг.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 обучающегося будут сформированы следующие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умения совместной деятельности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: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ПРЕДМЕТНЫЕ РЕЗУЛЬТАТЫ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5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Устно пересказывать прочитанный или прослушанный текст объёмом не менее 100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Текст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знание основных признаков текста (повествование) в практике его создания.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сообщение на заданную тему в виде презентации.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Фонетика. Графика. Орфоэпия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фонетический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изученные орфограммы.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ъ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Лексикология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тематические группы слов, родовые и видовые понятия.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лексический анализ слов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Морфемика.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морфему как минимальную значимую единицу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Находить чередование звуков в морфемах (в том числе чередование гласных с нулём звука).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морфемный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ы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орфографический анализ слов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Уместно использовать слова с суффиксами оценки в собственной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Морфология. Культура речи.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имена существительные, имена прилагательные, глаголы.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существительное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лексико-грамматические разряды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правописания имён существительных: безударных окончаний;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ё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 после шипящих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суффиксах и окончаниях;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-чик-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-щик-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-ек-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-ик- (-чик-);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корней 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а 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//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 о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: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-лаг-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-лож-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-раст-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-ращ-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-рос-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-гар-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-гор-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-зар-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-зор-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-клан-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-клон-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-скак-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-скоч-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употребления (неупотребления)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ь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на конце имён существительных после шипящих; слитное и раздельное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Имя прилагательное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частичный морфологический анализ имён прилагательных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правописания имён прилагательных: безударных окончаний;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ц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именами прилагательными.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Глагол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глаголы совершенного и несовершенного вида, возвратные и невозвратные.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спряжение глагола, уметь спрягать глаголы.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частичный морфологический анализ глаголов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правописания глаголов: корней 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е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//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использования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ь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-тся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-ться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глаголах;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-ова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–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ева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-ыва-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-ива-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личных окончаний глагола, гласной перед суффиксом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-л-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формах прошедшего времени глагола; слитного и раздельного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глаголами.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Синтаксис. Культура речи. Пунктуация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однако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(в значении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однако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зато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; оформлять на письме диалог.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пунктуационный анализ предложения (в рамках изученного).</w:t>
      </w: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6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Иметь представление о русском литературном языке.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Участвовать в диалоге (побуждение к действию, обмен мнениями) объёмом не менее 4 реплик.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Устно пересказывать прочитанный или прослушанный текст объёмом не менее 110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сообщение на заданную тему в виде презентации.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Лексикология. Культура речи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Словообразование. Культура речи.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-кас-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-кос-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 чередованием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//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гласных в приставках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при-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Морфология. Культура речи. Орфография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особенности словообразования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слитного и дефисного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пол-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полу-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со словами.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именах прилагательных,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-ск-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имён прилагательных, сложных имён прилагательных.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слитного, раздельного и дефисного написания местоимений.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правила правописания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ь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формах глагола повелительного наклонения.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7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Иметь представление о языке как развивающемся явлении.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Осознавать взаимосвязь языка, культуры и истории народа (приводить примеры).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Язык и речь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Устно пересказывать прослушанный или прочитанный текст объёмом не менее 120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лексические и грамматические средства связи предложений и частей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сообщение на заданную тему в виде презентации.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нормами построения текстов публицистического стиля.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грамматические словари и справочники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Морфология. Культура речи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Причастие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висящий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—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висячий,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горящий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—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горячий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вш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- действительных причастий прошедшего времени, перед суффиксом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- страдательных причастий прошедшего времени,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причастиями.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 расставлять знаки препинания в предложениях с причастным оборотом.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Деепричастие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деепричастия совершенного и несовершенного вида.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Конструировать деепричастный оборот, определять роль деепричастия в предложении.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Уместно использовать деепричастия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 ставить ударение в деепричастиях.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с деепричастиями.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Наречие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н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нн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наречиях на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-е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написания суффиксов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-а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 -о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наречий с приставками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из-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до-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за-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; употребления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ь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 конце наречий после шипящих; написания суффиксов наречий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-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после шипящих;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е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приставках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не-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ни-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наречий; слитного и раздельного написания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не 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 наречиями.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Слова категории состояния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Служебные части речи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Предлог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из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в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в составе словосочетаний, правила правописания производных предлогов.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Союз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союзов, применять это умение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Частица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частиц, применять это умение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Междометия и звукоподражательные слова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морфологический анализ междометий, применять это умение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пунктуационные правила оформления предложений с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грамматические омонимы.</w:t>
      </w: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8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Иметь представление о русском языке как одном из славянских языков.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Устно пересказывать прочитанный или прослушанный текст объёмом не менее 140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 xml:space="preserve">Текст 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сообщение на заданную тему в виде презентации.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</w:rPr>
        <w:t>C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интаксис. Культура речи. Пунктуация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Иметь представление о синтаксисе как разделе лингвистики.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словосочетание и предложение как единицы синтаксиса.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функции знаков препинания.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Словосочетание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нормы построения словосочетаний.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большинство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 –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меньшинство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да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нет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не только… но 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 xml:space="preserve">, 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как… так и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и... и, или... или, либ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... либ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, ни... ни, т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... т</w:t>
      </w:r>
      <w:r w:rsidRPr="00C2060A">
        <w:rPr>
          <w:rFonts w:ascii="Times New Roman" w:hAnsi="Times New Roman"/>
          <w:b/>
          <w:color w:val="000000"/>
          <w:sz w:val="18"/>
          <w:szCs w:val="20"/>
        </w:rPr>
        <w:t>o</w:t>
      </w: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сложные предложения, конструкции с чужой речью (в рамках изученного).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9 КЛАСС</w:t>
      </w:r>
    </w:p>
    <w:p w:rsidR="00EE05C9" w:rsidRPr="00C2060A" w:rsidRDefault="00EE05C9" w:rsidP="00C2060A">
      <w:pPr>
        <w:spacing w:after="0" w:line="0" w:lineRule="atLeast"/>
        <w:ind w:left="120"/>
        <w:contextualSpacing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Общие сведения о языке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Язык и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Устно пересказывать прочитанный или прослушанный текст объёмом не менее 150 слов.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Текст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Устанавливать принадлежность текста к функционально-смысловому типу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Прогнозировать содержание текста по заголовку, ключевым словам, зачину или концовке.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отличительные признаки текстов разных жанров.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сообщение на заданную тему в виде презентации.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Функциональные разновидности языка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Составлять тезисы, конспект, писать рецензию, реферат.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Система языка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</w:rPr>
        <w:t>C</w:t>
      </w: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интаксис. Культура речи. Пунктуация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Сложносочинённое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основные средства синтаксической связи между частями сложного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особенности употребления сложносочинённых предложений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основные нормы построения сложносочинённого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сложносочинённых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правила постановки знаков препинания в сложносочинённых предложениях.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Сложноподчинённое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подчинительные союзы и союзные слова.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однородное, неоднородное и последовательное подчинение придаточных частей.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основные нормы построения сложноподчинённого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особенности употребления сложноподчинённых предложений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сложноподчинённых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Бессоюзное сложное предложение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Понимать особенности употребления бессоюзных сложных предложений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бессоюзных сложных предложений.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Сложные предложения с разными видами союзной и бессоюзной связи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типы сложных предложений с разными видами связи.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основные нормы построения сложных предложений с разными видами связи.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Употреблять сложные предложения с разными видами связи в речи.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E05C9" w:rsidRPr="00C2060A" w:rsidRDefault="00EE05C9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</w:p>
    <w:p w:rsidR="00EE05C9" w:rsidRPr="00C2060A" w:rsidRDefault="00991B28" w:rsidP="00C2060A">
      <w:pPr>
        <w:spacing w:after="0" w:line="0" w:lineRule="atLeast"/>
        <w:ind w:left="12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b/>
          <w:color w:val="000000"/>
          <w:sz w:val="18"/>
          <w:szCs w:val="20"/>
          <w:lang w:val="ru-RU"/>
        </w:rPr>
        <w:t>Прямая и косвенная речь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Уметь цитировать и применять разные способы включения цитат в высказывание.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8"/>
          <w:szCs w:val="20"/>
          <w:lang w:val="ru-RU"/>
        </w:rPr>
      </w:pPr>
      <w:r w:rsidRPr="00C2060A">
        <w:rPr>
          <w:rFonts w:ascii="Times New Roman" w:hAnsi="Times New Roman"/>
          <w:color w:val="000000"/>
          <w:sz w:val="18"/>
          <w:szCs w:val="2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E05C9" w:rsidRPr="00C2060A" w:rsidRDefault="00991B28" w:rsidP="00C2060A">
      <w:pPr>
        <w:spacing w:after="0" w:line="0" w:lineRule="atLeast"/>
        <w:ind w:firstLine="600"/>
        <w:contextualSpacing/>
        <w:jc w:val="both"/>
        <w:rPr>
          <w:sz w:val="16"/>
          <w:lang w:val="ru-RU"/>
        </w:rPr>
      </w:pPr>
      <w:r w:rsidRPr="00C2060A">
        <w:rPr>
          <w:rFonts w:ascii="Calibri" w:hAnsi="Calibri"/>
          <w:color w:val="000000"/>
          <w:sz w:val="18"/>
          <w:szCs w:val="20"/>
          <w:lang w:val="ru-RU"/>
        </w:rPr>
        <w:t xml:space="preserve">Применять правила постановки знаков препинания в предложениях с прямой и </w:t>
      </w:r>
      <w:r w:rsidRPr="00C2060A">
        <w:rPr>
          <w:rFonts w:ascii="Calibri" w:hAnsi="Calibri"/>
          <w:color w:val="000000"/>
          <w:sz w:val="20"/>
          <w:lang w:val="ru-RU"/>
        </w:rPr>
        <w:t>косвенной речью, при цитировании.</w:t>
      </w:r>
    </w:p>
    <w:p w:rsidR="00EE05C9" w:rsidRDefault="00991B28" w:rsidP="00A83CC9">
      <w:pPr>
        <w:spacing w:after="0" w:line="240" w:lineRule="atLeast"/>
        <w:ind w:left="120"/>
        <w:contextualSpacing/>
      </w:pPr>
      <w:r>
        <w:rPr>
          <w:rFonts w:ascii="Times New Roman" w:hAnsi="Times New Roman"/>
          <w:color w:val="000000"/>
          <w:sz w:val="28"/>
        </w:rPr>
        <w:t>​</w:t>
      </w:r>
    </w:p>
    <w:p w:rsidR="00EE05C9" w:rsidRDefault="00EE05C9">
      <w:pPr>
        <w:sectPr w:rsidR="00EE05C9" w:rsidSect="00C2060A">
          <w:pgSz w:w="11906" w:h="16383"/>
          <w:pgMar w:top="567" w:right="424" w:bottom="426" w:left="284" w:header="720" w:footer="720" w:gutter="0"/>
          <w:cols w:space="720"/>
        </w:sectPr>
      </w:pPr>
    </w:p>
    <w:p w:rsidR="00EE05C9" w:rsidRPr="00A83CC9" w:rsidRDefault="00991B28" w:rsidP="00C2060A">
      <w:pPr>
        <w:spacing w:after="0" w:line="240" w:lineRule="atLeast"/>
        <w:ind w:left="120"/>
        <w:contextualSpacing/>
        <w:rPr>
          <w:sz w:val="20"/>
        </w:rPr>
      </w:pPr>
      <w:bookmarkStart w:id="5" w:name="block-21347777"/>
      <w:bookmarkEnd w:id="4"/>
      <w:r w:rsidRPr="00A83CC9">
        <w:rPr>
          <w:rFonts w:ascii="Times New Roman" w:hAnsi="Times New Roman"/>
          <w:b/>
          <w:color w:val="000000"/>
          <w:sz w:val="24"/>
        </w:rPr>
        <w:lastRenderedPageBreak/>
        <w:t xml:space="preserve">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927"/>
        <w:gridCol w:w="1124"/>
        <w:gridCol w:w="1807"/>
        <w:gridCol w:w="1874"/>
        <w:gridCol w:w="2775"/>
      </w:tblGrid>
      <w:tr w:rsidR="00EE05C9" w:rsidRPr="00A83CC9" w:rsidTr="00A83CC9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  <w:tc>
          <w:tcPr>
            <w:tcW w:w="5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A83CC9">
              <w:rPr>
                <w:rFonts w:ascii="Times New Roman" w:hAnsi="Times New Roman"/>
                <w:color w:val="000000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A83CC9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A83CC9">
              <w:rPr>
                <w:rFonts w:ascii="Times New Roman" w:hAnsi="Times New Roman"/>
                <w:color w:val="000000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83CC9">
              <w:rPr>
                <w:rFonts w:ascii="Times New Roman" w:hAnsi="Times New Roman"/>
                <w:color w:val="000000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A83CC9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A83CC9">
              <w:rPr>
                <w:rFonts w:ascii="Times New Roman" w:hAnsi="Times New Roman"/>
                <w:color w:val="000000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83CC9">
              <w:rPr>
                <w:rFonts w:ascii="Times New Roman" w:hAnsi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A83CC9">
              <w:rPr>
                <w:rFonts w:ascii="Times New Roman" w:hAnsi="Times New Roman"/>
                <w:color w:val="000000"/>
              </w:rPr>
              <w:t xml:space="preserve"> </w:t>
            </w:r>
            <w:r w:rsidRPr="00A83CC9"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A83CC9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Двусоставное предложение. Главные члены предложения </w:t>
            </w: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>(грамматическая основа)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7.3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83CC9">
              <w:rPr>
                <w:rFonts w:ascii="Times New Roman" w:hAnsi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505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417922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sz w:val="20"/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  <w:rPr>
                <w:sz w:val="20"/>
              </w:rPr>
            </w:pPr>
            <w:r w:rsidRPr="00A83CC9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  <w:rPr>
                <w:sz w:val="20"/>
              </w:rPr>
            </w:pPr>
          </w:p>
        </w:tc>
      </w:tr>
    </w:tbl>
    <w:p w:rsidR="00EE05C9" w:rsidRPr="00A83CC9" w:rsidRDefault="00EE05C9" w:rsidP="00C2060A">
      <w:pPr>
        <w:spacing w:line="240" w:lineRule="atLeast"/>
        <w:contextualSpacing/>
        <w:rPr>
          <w:lang w:val="ru-RU"/>
        </w:rPr>
        <w:sectPr w:rsidR="00EE05C9" w:rsidRPr="00A83CC9" w:rsidSect="00A83CC9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EE05C9" w:rsidRDefault="00991B28" w:rsidP="00C2060A">
      <w:pPr>
        <w:spacing w:after="0" w:line="240" w:lineRule="atLeast"/>
        <w:contextualSpacing/>
      </w:pPr>
      <w:bookmarkStart w:id="6" w:name="block-213477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361"/>
        <w:gridCol w:w="1134"/>
        <w:gridCol w:w="1841"/>
        <w:gridCol w:w="1910"/>
        <w:gridCol w:w="1347"/>
        <w:gridCol w:w="2824"/>
      </w:tblGrid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05C9" w:rsidRPr="00A83CC9" w:rsidRDefault="00EE05C9" w:rsidP="00C2060A">
            <w:pPr>
              <w:spacing w:line="240" w:lineRule="atLeast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A83CC9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A83CC9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A83CC9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A83CC9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A83CC9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"Словосочетание", "Двусоставное </w:t>
            </w: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</w:t>
            </w: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>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A83CC9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A83CC9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</w:tr>
      <w:tr w:rsidR="00EE05C9" w:rsidRPr="00175BB6" w:rsidTr="00A83CC9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contextualSpacing/>
            </w:pPr>
            <w:r w:rsidRPr="00A83CC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A83CC9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after="0" w:line="240" w:lineRule="atLeast"/>
              <w:ind w:left="135"/>
              <w:contextualSpacing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A83C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83CC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C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05C9" w:rsidRPr="00A83CC9" w:rsidTr="00A83C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rPr>
                <w:lang w:val="ru-RU"/>
              </w:rPr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83CC9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5C9" w:rsidRPr="00A83CC9" w:rsidRDefault="00991B28" w:rsidP="00C2060A">
            <w:pPr>
              <w:spacing w:after="0" w:line="240" w:lineRule="atLeast"/>
              <w:ind w:left="135"/>
              <w:contextualSpacing/>
              <w:jc w:val="center"/>
            </w:pPr>
            <w:r w:rsidRPr="00A83CC9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5C9" w:rsidRPr="00A83CC9" w:rsidRDefault="00EE05C9" w:rsidP="00C2060A">
            <w:pPr>
              <w:spacing w:line="240" w:lineRule="atLeast"/>
              <w:contextualSpacing/>
            </w:pPr>
          </w:p>
        </w:tc>
      </w:tr>
    </w:tbl>
    <w:p w:rsidR="00EE05C9" w:rsidRPr="00A83CC9" w:rsidRDefault="00EE05C9" w:rsidP="00C2060A">
      <w:pPr>
        <w:spacing w:line="240" w:lineRule="atLeast"/>
        <w:contextualSpacing/>
        <w:rPr>
          <w:lang w:val="ru-RU"/>
        </w:rPr>
        <w:sectPr w:rsidR="00EE05C9" w:rsidRPr="00A83CC9" w:rsidSect="00A83CC9">
          <w:pgSz w:w="16383" w:h="11906" w:orient="landscape"/>
          <w:pgMar w:top="709" w:right="850" w:bottom="426" w:left="1701" w:header="720" w:footer="720" w:gutter="0"/>
          <w:cols w:space="720"/>
        </w:sectPr>
      </w:pPr>
    </w:p>
    <w:bookmarkEnd w:id="6"/>
    <w:p w:rsidR="00991B28" w:rsidRPr="00A83CC9" w:rsidRDefault="00991B28" w:rsidP="00C2060A">
      <w:pPr>
        <w:rPr>
          <w:lang w:val="ru-RU"/>
        </w:rPr>
      </w:pPr>
    </w:p>
    <w:sectPr w:rsidR="00991B28" w:rsidRPr="00A83C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05C9"/>
    <w:rsid w:val="00175BB6"/>
    <w:rsid w:val="001A7CD2"/>
    <w:rsid w:val="00703DC9"/>
    <w:rsid w:val="00861CC3"/>
    <w:rsid w:val="00991B28"/>
    <w:rsid w:val="00A83CC9"/>
    <w:rsid w:val="00B9179C"/>
    <w:rsid w:val="00C2060A"/>
    <w:rsid w:val="00E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CC3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86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18686</Words>
  <Characters>106512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2023-09-13T13:06:00Z</cp:lastPrinted>
  <dcterms:created xsi:type="dcterms:W3CDTF">2023-09-13T09:56:00Z</dcterms:created>
  <dcterms:modified xsi:type="dcterms:W3CDTF">2023-10-30T10:59:00Z</dcterms:modified>
</cp:coreProperties>
</file>